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C03477">
        <w:rPr>
          <w:i/>
          <w:iCs/>
          <w:color w:val="000000"/>
          <w:sz w:val="28"/>
          <w:szCs w:val="28"/>
          <w:u w:val="single"/>
          <w:lang w:val="uk-UA"/>
        </w:rPr>
        <w:t>майстер-клас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="004B1191" w:rsidRPr="004B1191">
        <w:rPr>
          <w:i/>
          <w:iCs/>
          <w:color w:val="000000"/>
          <w:sz w:val="28"/>
          <w:szCs w:val="28"/>
          <w:lang w:val="uk-UA"/>
        </w:rPr>
        <w:t>симуляційний</w:t>
      </w:r>
      <w:proofErr w:type="spellEnd"/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28478071" w14:textId="77777777" w:rsidR="006D6B46" w:rsidRDefault="006D6B46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CE1075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136E7135" w:rsidR="00CE1075" w:rsidRPr="006C548F" w:rsidRDefault="00E33C45" w:rsidP="00E33C45">
            <w:pPr>
              <w:rPr>
                <w:bCs/>
                <w:sz w:val="22"/>
                <w:lang w:val="uk-UA"/>
              </w:rPr>
            </w:pPr>
            <w:r w:rsidRPr="00E33C45">
              <w:t>«</w:t>
            </w:r>
            <w:proofErr w:type="spellStart"/>
            <w:r w:rsidRPr="00E33C45">
              <w:t>Методи</w:t>
            </w:r>
            <w:proofErr w:type="spellEnd"/>
            <w:r w:rsidRPr="00E33C45">
              <w:t xml:space="preserve"> </w:t>
            </w:r>
            <w:proofErr w:type="spellStart"/>
            <w:r w:rsidRPr="00E33C45">
              <w:t>виявлення</w:t>
            </w:r>
            <w:proofErr w:type="spellEnd"/>
            <w:r w:rsidRPr="00E33C45">
              <w:t xml:space="preserve"> </w:t>
            </w:r>
            <w:proofErr w:type="spellStart"/>
            <w:r w:rsidRPr="00E33C45">
              <w:t>професійного</w:t>
            </w:r>
            <w:proofErr w:type="spellEnd"/>
            <w:r w:rsidRPr="00E33C45">
              <w:t xml:space="preserve"> </w:t>
            </w:r>
            <w:proofErr w:type="spellStart"/>
            <w:r w:rsidRPr="00E33C45">
              <w:t>вигорання</w:t>
            </w:r>
            <w:proofErr w:type="spellEnd"/>
            <w:r w:rsidRPr="00E33C45">
              <w:t xml:space="preserve"> і </w:t>
            </w:r>
            <w:proofErr w:type="spellStart"/>
            <w:r w:rsidRPr="00E33C45">
              <w:t>хронічної</w:t>
            </w:r>
            <w:proofErr w:type="spellEnd"/>
            <w:r w:rsidRPr="00E33C45">
              <w:t xml:space="preserve"> </w:t>
            </w:r>
            <w:proofErr w:type="spellStart"/>
            <w:r w:rsidR="00D56112">
              <w:t>втоми</w:t>
            </w:r>
            <w:proofErr w:type="spellEnd"/>
            <w:r w:rsidR="00D56112">
              <w:t xml:space="preserve"> та шляхи </w:t>
            </w:r>
            <w:proofErr w:type="spellStart"/>
            <w:r w:rsidR="00D56112">
              <w:t>їх</w:t>
            </w:r>
            <w:proofErr w:type="spellEnd"/>
            <w:r w:rsidR="00D56112">
              <w:t xml:space="preserve"> </w:t>
            </w:r>
            <w:proofErr w:type="spellStart"/>
            <w:r w:rsidR="00D56112">
              <w:t>профілактики</w:t>
            </w:r>
            <w:proofErr w:type="spellEnd"/>
            <w:r w:rsidR="00D56112">
              <w:t>»</w:t>
            </w:r>
          </w:p>
        </w:tc>
      </w:tr>
      <w:tr w:rsidR="00CE1075" w:rsidRPr="006C548F" w14:paraId="315EBAD6" w14:textId="77777777" w:rsidTr="004B1191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30C5DA80" w:rsidR="00CE1075" w:rsidRPr="007C4FFA" w:rsidRDefault="007C4FFA" w:rsidP="00194641">
            <w:pPr>
              <w:adjustRightInd w:val="0"/>
              <w:spacing w:after="240"/>
              <w:rPr>
                <w:bCs/>
                <w:sz w:val="22"/>
                <w:lang w:val="uk-UA"/>
              </w:rPr>
            </w:pPr>
            <w:r>
              <w:rPr>
                <w:rFonts w:ascii="Times" w:hAnsi="Times" w:cs="Times"/>
                <w:bCs/>
                <w:color w:val="000000"/>
                <w:szCs w:val="32"/>
                <w:lang w:val="uk-UA"/>
              </w:rPr>
              <w:t>Громадська організація «Національна академія наук вищої освіти України»</w:t>
            </w:r>
          </w:p>
        </w:tc>
      </w:tr>
      <w:tr w:rsidR="00CE1075" w:rsidRPr="00CE1075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6835B473" w:rsidR="00CE1075" w:rsidRPr="006C548F" w:rsidRDefault="00C03477" w:rsidP="006C548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</w:t>
            </w:r>
            <w:r w:rsidR="006C548F" w:rsidRPr="006C548F">
              <w:rPr>
                <w:bCs/>
                <w:lang w:val="uk-UA"/>
              </w:rPr>
              <w:t>емає</w:t>
            </w:r>
          </w:p>
        </w:tc>
      </w:tr>
      <w:tr w:rsidR="00CE1075" w:rsidRPr="007C4FFA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045707C9" w14:textId="34D72F67" w:rsidR="00DB5700" w:rsidRPr="00DB5700" w:rsidRDefault="006C548F" w:rsidP="00DB5700">
            <w:pPr>
              <w:rPr>
                <w:lang w:val="uk-UA"/>
              </w:rPr>
            </w:pPr>
            <w:r w:rsidRPr="006C548F">
              <w:rPr>
                <w:lang w:val="uk-UA"/>
              </w:rPr>
              <w:t xml:space="preserve">Захід </w:t>
            </w:r>
            <w:proofErr w:type="spellStart"/>
            <w:r w:rsidRPr="006C548F">
              <w:rPr>
                <w:lang w:val="uk-UA"/>
              </w:rPr>
              <w:t>розраховании</w:t>
            </w:r>
            <w:proofErr w:type="spellEnd"/>
            <w:r w:rsidRPr="006C548F">
              <w:rPr>
                <w:lang w:val="uk-UA"/>
              </w:rPr>
              <w:t xml:space="preserve">̆ на лікарів всіх </w:t>
            </w:r>
            <w:proofErr w:type="spellStart"/>
            <w:r w:rsidRPr="006C548F">
              <w:rPr>
                <w:lang w:val="uk-UA"/>
              </w:rPr>
              <w:t>спеціальностеи</w:t>
            </w:r>
            <w:proofErr w:type="spellEnd"/>
            <w:r w:rsidRPr="006C548F">
              <w:rPr>
                <w:lang w:val="uk-UA"/>
              </w:rPr>
              <w:t xml:space="preserve">̆ відповідно до номенклатури лікарських </w:t>
            </w:r>
            <w:proofErr w:type="spellStart"/>
            <w:r w:rsidRPr="006C548F">
              <w:rPr>
                <w:lang w:val="uk-UA"/>
              </w:rPr>
              <w:t>спеціальностеи</w:t>
            </w:r>
            <w:proofErr w:type="spellEnd"/>
            <w:r w:rsidRPr="006C548F">
              <w:rPr>
                <w:lang w:val="uk-UA"/>
              </w:rPr>
              <w:t xml:space="preserve">̆, </w:t>
            </w:r>
            <w:proofErr w:type="spellStart"/>
            <w:r w:rsidRPr="006C548F">
              <w:rPr>
                <w:lang w:val="uk-UA"/>
              </w:rPr>
              <w:t>затвердженоі</w:t>
            </w:r>
            <w:proofErr w:type="spellEnd"/>
            <w:r w:rsidRPr="006C548F">
              <w:rPr>
                <w:lang w:val="uk-UA"/>
              </w:rPr>
              <w:t>̈ наказом МОЗ</w:t>
            </w:r>
            <w:r w:rsidR="00DB5700" w:rsidRPr="00DB5700">
              <w:rPr>
                <w:lang w:val="uk-UA"/>
              </w:rPr>
              <w:t xml:space="preserve"> </w:t>
            </w:r>
          </w:p>
          <w:p w14:paraId="350951F1" w14:textId="13081F95" w:rsidR="00DB5700" w:rsidRPr="00DB5700" w:rsidRDefault="00DB5700" w:rsidP="00DB5700">
            <w:pPr>
              <w:rPr>
                <w:lang w:val="uk-UA"/>
              </w:rPr>
            </w:pPr>
            <w:r w:rsidRPr="00DB5700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від </w:t>
            </w:r>
            <w:r w:rsidRPr="00DB5700">
              <w:rPr>
                <w:lang w:val="uk-UA"/>
              </w:rPr>
              <w:t>22 лютого 2019 року № 446</w:t>
            </w:r>
          </w:p>
          <w:p w14:paraId="41995362" w14:textId="77777777" w:rsidR="00DB5700" w:rsidRPr="00DB5700" w:rsidRDefault="00DB5700" w:rsidP="00DB5700">
            <w:pPr>
              <w:rPr>
                <w:lang w:val="uk-UA"/>
              </w:rPr>
            </w:pPr>
            <w:r w:rsidRPr="00DB5700">
              <w:rPr>
                <w:lang w:val="uk-UA"/>
              </w:rPr>
              <w:t>(у редакції наказу Міністерства</w:t>
            </w:r>
          </w:p>
          <w:p w14:paraId="32209F5C" w14:textId="77777777" w:rsidR="00DB5700" w:rsidRPr="00DB5700" w:rsidRDefault="00DB5700" w:rsidP="00DB5700">
            <w:pPr>
              <w:rPr>
                <w:lang w:val="uk-UA"/>
              </w:rPr>
            </w:pPr>
            <w:r w:rsidRPr="00DB5700">
              <w:rPr>
                <w:lang w:val="uk-UA"/>
              </w:rPr>
              <w:t>охорони здоров’я України</w:t>
            </w:r>
          </w:p>
          <w:p w14:paraId="1FAB8E86" w14:textId="288E4E36" w:rsidR="00CE1075" w:rsidRPr="006C548F" w:rsidRDefault="00DB5700" w:rsidP="00DB5700">
            <w:pPr>
              <w:rPr>
                <w:bCs/>
                <w:lang w:val="uk-UA"/>
              </w:rPr>
            </w:pPr>
            <w:r w:rsidRPr="00DB5700">
              <w:rPr>
                <w:lang w:val="uk-UA"/>
              </w:rPr>
              <w:t>від 18 серпня 2021 року № 1753)</w:t>
            </w:r>
            <w:r w:rsidR="006C548F" w:rsidRPr="006C548F">
              <w:rPr>
                <w:lang w:val="uk-UA"/>
              </w:rPr>
              <w:t xml:space="preserve"> 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34363C30" w:rsidR="00CE1075" w:rsidRPr="006C548F" w:rsidRDefault="007C4FFA" w:rsidP="006C548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Майстер-клас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2CC96EE9" w:rsidR="00CE1075" w:rsidRPr="007C4FFA" w:rsidRDefault="007C4FFA" w:rsidP="007C4FFA">
            <w:pPr>
              <w:rPr>
                <w:bCs/>
                <w:lang w:val="uk-UA"/>
              </w:rPr>
            </w:pPr>
            <w:r w:rsidRPr="007C4FFA">
              <w:rPr>
                <w:bCs/>
                <w:lang w:val="uk-UA"/>
              </w:rPr>
              <w:t>40+</w:t>
            </w:r>
          </w:p>
        </w:tc>
      </w:tr>
      <w:tr w:rsidR="00CE1075" w:rsidRPr="006C548F" w14:paraId="3328CFB0" w14:textId="77777777" w:rsidTr="004B1191">
        <w:tc>
          <w:tcPr>
            <w:tcW w:w="3964" w:type="dxa"/>
          </w:tcPr>
          <w:p w14:paraId="6327595B" w14:textId="41938930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3F2F4864" w:rsidR="00CE1075" w:rsidRPr="007C4FFA" w:rsidRDefault="0016105A" w:rsidP="0016105A">
            <w:pPr>
              <w:rPr>
                <w:bCs/>
                <w:lang w:val="uk-UA"/>
              </w:rPr>
            </w:pPr>
            <w:r w:rsidRPr="007C4FFA">
              <w:rPr>
                <w:bCs/>
                <w:lang w:val="uk-UA"/>
              </w:rPr>
              <w:t>В</w:t>
            </w:r>
            <w:r w:rsidR="00AF09AC" w:rsidRPr="007C4FFA">
              <w:rPr>
                <w:bCs/>
                <w:lang w:val="uk-UA"/>
              </w:rPr>
              <w:t>часне</w:t>
            </w:r>
            <w:r w:rsidRPr="007C4FFA">
              <w:rPr>
                <w:bCs/>
                <w:lang w:val="uk-UA"/>
              </w:rPr>
              <w:t xml:space="preserve"> виявлення та профілактика синдрому професійного вигорання</w:t>
            </w:r>
          </w:p>
        </w:tc>
      </w:tr>
      <w:tr w:rsidR="00CE1075" w:rsidRPr="00CE1075" w14:paraId="6EF8E96E" w14:textId="77777777" w:rsidTr="004B1191">
        <w:tc>
          <w:tcPr>
            <w:tcW w:w="3964" w:type="dxa"/>
          </w:tcPr>
          <w:p w14:paraId="3FB46BE1" w14:textId="0A0010D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2BDDEC6A" w:rsidR="00CE1075" w:rsidRPr="008925FD" w:rsidRDefault="00C03477" w:rsidP="00D5611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Масовий відкритий онлайн-курс</w:t>
            </w:r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24830A81" w:rsidR="00CE1075" w:rsidRPr="008925FD" w:rsidRDefault="008925FD" w:rsidP="008925FD">
            <w:pPr>
              <w:rPr>
                <w:bCs/>
                <w:lang w:val="uk-UA"/>
              </w:rPr>
            </w:pPr>
            <w:r w:rsidRPr="008925FD">
              <w:rPr>
                <w:bCs/>
                <w:lang w:val="uk-UA"/>
              </w:rPr>
              <w:t>10</w:t>
            </w:r>
          </w:p>
        </w:tc>
      </w:tr>
      <w:tr w:rsidR="00CE1075" w:rsidRPr="00CE1075" w14:paraId="46246522" w14:textId="77777777" w:rsidTr="004B1191">
        <w:tc>
          <w:tcPr>
            <w:tcW w:w="3964" w:type="dxa"/>
          </w:tcPr>
          <w:p w14:paraId="63F88E85" w14:textId="6905EAF7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7A97867A" w:rsidR="00CE1075" w:rsidRPr="007C4FFA" w:rsidRDefault="007C4FFA" w:rsidP="00194641">
            <w:pPr>
              <w:rPr>
                <w:bCs/>
                <w:lang w:val="uk-UA"/>
              </w:rPr>
            </w:pPr>
            <w:r w:rsidRPr="007C4FFA">
              <w:rPr>
                <w:bCs/>
                <w:lang w:val="uk-UA"/>
              </w:rPr>
              <w:t>29.09.2023 року</w:t>
            </w:r>
            <w:r w:rsidR="00194641">
              <w:rPr>
                <w:bCs/>
                <w:lang w:val="uk-UA"/>
              </w:rPr>
              <w:t>, початок 14:00, закінчення 17:00</w:t>
            </w:r>
          </w:p>
        </w:tc>
      </w:tr>
      <w:tr w:rsidR="00CE1075" w:rsidRPr="006C548F" w14:paraId="2F57CE8B" w14:textId="77777777" w:rsidTr="004B1191">
        <w:tc>
          <w:tcPr>
            <w:tcW w:w="3964" w:type="dxa"/>
          </w:tcPr>
          <w:p w14:paraId="53F25210" w14:textId="6BB0B79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43A95551" w:rsidR="00CE1075" w:rsidRPr="007C4FFA" w:rsidRDefault="007C4FFA" w:rsidP="007C4FFA">
            <w:pPr>
              <w:rPr>
                <w:bCs/>
              </w:rPr>
            </w:pPr>
            <w:r w:rsidRPr="007C4FFA">
              <w:rPr>
                <w:bCs/>
                <w:lang w:val="uk-UA"/>
              </w:rPr>
              <w:t xml:space="preserve">В онлайн-режимі, на базі платформи </w:t>
            </w:r>
            <w:r w:rsidRPr="007C4FFA">
              <w:rPr>
                <w:bCs/>
                <w:lang w:val="en-US"/>
              </w:rPr>
              <w:t>ZOOM</w:t>
            </w:r>
          </w:p>
        </w:tc>
      </w:tr>
      <w:tr w:rsidR="00CE1075" w:rsidRPr="000538CB" w14:paraId="1231D504" w14:textId="77777777" w:rsidTr="004B1191">
        <w:tc>
          <w:tcPr>
            <w:tcW w:w="3964" w:type="dxa"/>
          </w:tcPr>
          <w:p w14:paraId="40C17CF6" w14:textId="454BAADE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59E3C60D" w14:textId="4E610D0F" w:rsidR="00CE1075" w:rsidRPr="007C4FFA" w:rsidRDefault="007C4FFA" w:rsidP="000538C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ЧАБАН Олег Созонтович</w:t>
            </w:r>
          </w:p>
        </w:tc>
      </w:tr>
      <w:tr w:rsidR="00CE1075" w:rsidRPr="00AF4B56" w14:paraId="6D49AE4A" w14:textId="77777777" w:rsidTr="004B1191">
        <w:tc>
          <w:tcPr>
            <w:tcW w:w="3964" w:type="dxa"/>
          </w:tcPr>
          <w:p w14:paraId="1BD0F7FE" w14:textId="7F51E4F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3AC68784" w14:textId="04391396" w:rsidR="00CE1075" w:rsidRPr="00AF09AC" w:rsidRDefault="007C4FFA" w:rsidP="00AF4B56">
            <w:pPr>
              <w:rPr>
                <w:bCs/>
                <w:lang w:val="uk-UA"/>
              </w:rPr>
            </w:pPr>
            <w:r>
              <w:rPr>
                <w:lang w:val="uk-UA"/>
              </w:rPr>
              <w:t xml:space="preserve">доктор медичних наук, професор, </w:t>
            </w:r>
            <w:r w:rsidRPr="00AF4B56">
              <w:rPr>
                <w:lang w:val="uk-UA"/>
              </w:rPr>
              <w:t>а</w:t>
            </w:r>
            <w:r w:rsidR="000538CB" w:rsidRPr="00AF4B56">
              <w:rPr>
                <w:lang w:val="uk-UA"/>
              </w:rPr>
              <w:t xml:space="preserve">кадемік </w:t>
            </w:r>
            <w:r w:rsidR="00AF4B56">
              <w:rPr>
                <w:lang w:val="uk-UA"/>
              </w:rPr>
              <w:t>ГО «</w:t>
            </w:r>
            <w:r w:rsidR="000538CB" w:rsidRPr="00AF4B56">
              <w:rPr>
                <w:lang w:val="uk-UA"/>
              </w:rPr>
              <w:t>НАН</w:t>
            </w:r>
            <w:r>
              <w:rPr>
                <w:lang w:val="uk-UA"/>
              </w:rPr>
              <w:t xml:space="preserve"> </w:t>
            </w:r>
            <w:r w:rsidR="000538CB" w:rsidRPr="00AF4B56">
              <w:rPr>
                <w:lang w:val="uk-UA"/>
              </w:rPr>
              <w:t>ВО України</w:t>
            </w:r>
            <w:r w:rsidR="00AF4B56">
              <w:rPr>
                <w:lang w:val="uk-UA"/>
              </w:rPr>
              <w:t xml:space="preserve">», </w:t>
            </w:r>
            <w:r w:rsidR="000538CB" w:rsidRPr="00AF4B56">
              <w:rPr>
                <w:lang w:val="uk-UA"/>
              </w:rPr>
              <w:t xml:space="preserve"> </w:t>
            </w:r>
            <w:r w:rsidR="00AF4B56" w:rsidRPr="00AF4B56">
              <w:rPr>
                <w:lang w:val="uk-UA"/>
              </w:rPr>
              <w:t>професор кафедри медичної психології, психосоматичної медицини та психотерапії Національного медичного університету ім. О.О.</w:t>
            </w:r>
            <w:r w:rsidR="00AF4B56">
              <w:rPr>
                <w:lang w:val="uk-UA"/>
              </w:rPr>
              <w:t xml:space="preserve"> </w:t>
            </w:r>
            <w:r w:rsidR="00AF4B56" w:rsidRPr="00AF4B56">
              <w:rPr>
                <w:lang w:val="uk-UA"/>
              </w:rPr>
              <w:t>Богомольця, президент Всеукраїнської асоціації психосоматичної медицини</w:t>
            </w:r>
            <w:r w:rsidR="00A2494D">
              <w:rPr>
                <w:lang w:val="uk-UA"/>
              </w:rPr>
              <w:t xml:space="preserve">, перший </w:t>
            </w:r>
            <w:proofErr w:type="spellStart"/>
            <w:r w:rsidR="00A2494D">
              <w:rPr>
                <w:lang w:val="uk-UA"/>
              </w:rPr>
              <w:t>віцепрезидент</w:t>
            </w:r>
            <w:proofErr w:type="spellEnd"/>
            <w:r w:rsidR="00A2494D">
              <w:rPr>
                <w:lang w:val="uk-UA"/>
              </w:rPr>
              <w:t xml:space="preserve"> ГО «Асоціація психотерапевтів і психоаналітиків України» </w:t>
            </w:r>
            <w:bookmarkStart w:id="0" w:name="_GoBack"/>
            <w:bookmarkEnd w:id="0"/>
          </w:p>
        </w:tc>
      </w:tr>
      <w:tr w:rsidR="00CE1075" w:rsidRPr="00E33C45" w14:paraId="5105DB79" w14:textId="77777777" w:rsidTr="004B1191">
        <w:tc>
          <w:tcPr>
            <w:tcW w:w="3964" w:type="dxa"/>
          </w:tcPr>
          <w:p w14:paraId="38E9375D" w14:textId="6E390C4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65FDB496" w14:textId="3C369CBE" w:rsidR="00CE1075" w:rsidRPr="00E33C45" w:rsidRDefault="00E33C45" w:rsidP="001A337E">
            <w:pPr>
              <w:rPr>
                <w:bCs/>
                <w:lang w:val="uk-UA"/>
              </w:rPr>
            </w:pPr>
            <w:r w:rsidRPr="00E33C45">
              <w:rPr>
                <w:lang w:val="uk-UA"/>
              </w:rPr>
              <w:t>Історія вивченн</w:t>
            </w:r>
            <w:r>
              <w:rPr>
                <w:lang w:val="uk-UA"/>
              </w:rPr>
              <w:t>я синдрому емоційного вигорання.</w:t>
            </w:r>
            <w:r w:rsidR="001A337E">
              <w:rPr>
                <w:lang w:val="uk-UA"/>
              </w:rPr>
              <w:t xml:space="preserve"> Е</w:t>
            </w:r>
            <w:r w:rsidRPr="00E33C45">
              <w:rPr>
                <w:lang w:val="uk-UA"/>
              </w:rPr>
              <w:t>волюція поглядів на синдром</w:t>
            </w:r>
            <w:r>
              <w:rPr>
                <w:lang w:val="uk-UA"/>
              </w:rPr>
              <w:t xml:space="preserve"> від синдрому емоційного вигорання</w:t>
            </w:r>
            <w:r w:rsidRPr="00E33C45">
              <w:rPr>
                <w:lang w:val="uk-UA"/>
              </w:rPr>
              <w:t xml:space="preserve"> до </w:t>
            </w:r>
            <w:r>
              <w:rPr>
                <w:lang w:val="uk-UA"/>
              </w:rPr>
              <w:t xml:space="preserve">синдрому професійного вигорання в </w:t>
            </w:r>
            <w:r w:rsidRPr="00E33C45">
              <w:rPr>
                <w:lang w:val="uk-UA"/>
              </w:rPr>
              <w:t xml:space="preserve">редакції ВООЗ та відображення в </w:t>
            </w:r>
            <w:r>
              <w:t>ICD</w:t>
            </w:r>
            <w:r w:rsidRPr="00E33C45">
              <w:rPr>
                <w:lang w:val="uk-UA"/>
              </w:rPr>
              <w:t xml:space="preserve"> 11</w:t>
            </w:r>
            <w:r>
              <w:rPr>
                <w:lang w:val="uk-UA"/>
              </w:rPr>
              <w:t>.</w:t>
            </w:r>
            <w:r w:rsidRPr="00E33C45">
              <w:rPr>
                <w:lang w:val="uk-UA"/>
              </w:rPr>
              <w:t xml:space="preserve"> </w:t>
            </w:r>
            <w:r w:rsidR="00C03477" w:rsidRPr="00E33C45">
              <w:rPr>
                <w:lang w:val="uk-UA"/>
              </w:rPr>
              <w:t>В</w:t>
            </w:r>
            <w:r w:rsidRPr="00E33C45">
              <w:rPr>
                <w:lang w:val="uk-UA"/>
              </w:rPr>
              <w:t>изначення та розуміння синдрому</w:t>
            </w:r>
            <w:r w:rsidR="00C03477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C03477">
              <w:rPr>
                <w:lang w:val="uk-UA"/>
              </w:rPr>
              <w:t>К</w:t>
            </w:r>
            <w:r>
              <w:rPr>
                <w:lang w:val="uk-UA"/>
              </w:rPr>
              <w:t>люч</w:t>
            </w:r>
            <w:r w:rsidR="00C03477">
              <w:rPr>
                <w:lang w:val="uk-UA"/>
              </w:rPr>
              <w:t>о</w:t>
            </w:r>
            <w:r>
              <w:rPr>
                <w:lang w:val="uk-UA"/>
              </w:rPr>
              <w:t>ві</w:t>
            </w:r>
            <w:r w:rsidR="00C03477">
              <w:rPr>
                <w:lang w:val="uk-UA"/>
              </w:rPr>
              <w:t xml:space="preserve">  та додаткові прояви синдрому.</w:t>
            </w:r>
            <w:r>
              <w:rPr>
                <w:lang w:val="uk-UA"/>
              </w:rPr>
              <w:t xml:space="preserve"> </w:t>
            </w:r>
            <w:r w:rsidR="00C03477">
              <w:rPr>
                <w:lang w:val="uk-UA"/>
              </w:rPr>
              <w:lastRenderedPageBreak/>
              <w:t>Ф</w:t>
            </w:r>
            <w:r>
              <w:rPr>
                <w:lang w:val="uk-UA"/>
              </w:rPr>
              <w:t>актори</w:t>
            </w:r>
            <w:r w:rsidR="00C03477">
              <w:rPr>
                <w:lang w:val="uk-UA"/>
              </w:rPr>
              <w:t xml:space="preserve"> формування синдрому.</w:t>
            </w:r>
            <w:r>
              <w:rPr>
                <w:lang w:val="uk-UA"/>
              </w:rPr>
              <w:t xml:space="preserve"> </w:t>
            </w:r>
            <w:r w:rsidR="00C03477">
              <w:rPr>
                <w:lang w:val="uk-UA"/>
              </w:rPr>
              <w:t>З</w:t>
            </w:r>
            <w:r>
              <w:rPr>
                <w:lang w:val="uk-UA"/>
              </w:rPr>
              <w:t>алежність</w:t>
            </w:r>
            <w:r w:rsidR="00C03477">
              <w:rPr>
                <w:lang w:val="uk-UA"/>
              </w:rPr>
              <w:t xml:space="preserve"> від професії.</w:t>
            </w:r>
            <w:r>
              <w:rPr>
                <w:lang w:val="uk-UA"/>
              </w:rPr>
              <w:t xml:space="preserve"> </w:t>
            </w:r>
            <w:r w:rsidR="00C03477">
              <w:rPr>
                <w:lang w:val="uk-UA"/>
              </w:rPr>
              <w:t>П</w:t>
            </w:r>
            <w:r>
              <w:rPr>
                <w:lang w:val="uk-UA"/>
              </w:rPr>
              <w:t>ротекторні</w:t>
            </w:r>
            <w:r w:rsidR="00C03477">
              <w:rPr>
                <w:lang w:val="uk-UA"/>
              </w:rPr>
              <w:t xml:space="preserve"> фактори синдрому.</w:t>
            </w:r>
            <w:r>
              <w:rPr>
                <w:lang w:val="uk-UA"/>
              </w:rPr>
              <w:t xml:space="preserve"> </w:t>
            </w:r>
            <w:r w:rsidR="00C03477">
              <w:rPr>
                <w:lang w:val="uk-UA"/>
              </w:rPr>
              <w:t>К</w:t>
            </w:r>
            <w:r>
              <w:rPr>
                <w:lang w:val="uk-UA"/>
              </w:rPr>
              <w:t>ореляція з психічними та соматичними розладами. Діагностика. П</w:t>
            </w:r>
            <w:r w:rsidR="00C03477">
              <w:rPr>
                <w:lang w:val="uk-UA"/>
              </w:rPr>
              <w:t>ревенція та запобігання формуванню</w:t>
            </w:r>
            <w:r>
              <w:rPr>
                <w:lang w:val="uk-UA"/>
              </w:rPr>
              <w:t>. Особливості формування в сучасних умовах війни.</w:t>
            </w:r>
            <w:r w:rsidRPr="00E33C45">
              <w:rPr>
                <w:lang w:val="uk-UA"/>
              </w:rPr>
              <w:t xml:space="preserve"> </w:t>
            </w:r>
            <w:r w:rsidR="00C03477">
              <w:rPr>
                <w:lang w:val="uk-UA"/>
              </w:rPr>
              <w:t xml:space="preserve">Методи психологічної кореляції та </w:t>
            </w:r>
            <w:r w:rsidR="001A337E">
              <w:rPr>
                <w:lang w:val="uk-UA"/>
              </w:rPr>
              <w:t>психотерапевтичної інтервенції</w:t>
            </w:r>
          </w:p>
        </w:tc>
      </w:tr>
      <w:tr w:rsidR="00CE1075" w:rsidRPr="007C4FFA" w14:paraId="15249AD2" w14:textId="77777777" w:rsidTr="004B1191">
        <w:tc>
          <w:tcPr>
            <w:tcW w:w="3964" w:type="dxa"/>
          </w:tcPr>
          <w:p w14:paraId="582A2C5B" w14:textId="4C939038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8C56399" w14:textId="77777777" w:rsidR="00DB5700" w:rsidRDefault="006E7D95" w:rsidP="00DB5700">
            <w:pPr>
              <w:rPr>
                <w:lang w:val="uk-UA"/>
              </w:rPr>
            </w:pPr>
            <w:r w:rsidRPr="006E7D95">
              <w:rPr>
                <w:bCs/>
                <w:lang w:val="uk-UA"/>
              </w:rPr>
              <w:t>Фахівці</w:t>
            </w:r>
            <w:r w:rsidR="007C4FFA">
              <w:rPr>
                <w:bCs/>
                <w:lang w:val="uk-UA"/>
              </w:rPr>
              <w:t>,</w:t>
            </w:r>
            <w:r w:rsidRPr="006E7D95">
              <w:rPr>
                <w:bCs/>
                <w:lang w:val="uk-UA"/>
              </w:rPr>
              <w:t xml:space="preserve"> які працюють в систем</w:t>
            </w:r>
            <w:r w:rsidR="00C03477">
              <w:rPr>
                <w:bCs/>
                <w:lang w:val="uk-UA"/>
              </w:rPr>
              <w:t xml:space="preserve">і “людина – людина”, </w:t>
            </w:r>
            <w:r w:rsidRPr="006E7D95">
              <w:rPr>
                <w:bCs/>
                <w:lang w:val="uk-UA"/>
              </w:rPr>
              <w:t>гуманітарних професій і в першу чергу</w:t>
            </w:r>
            <w:r w:rsidR="007C4FFA">
              <w:rPr>
                <w:bCs/>
                <w:lang w:val="uk-UA"/>
              </w:rPr>
              <w:t>,</w:t>
            </w:r>
            <w:r w:rsidRPr="006E7D95">
              <w:rPr>
                <w:bCs/>
                <w:lang w:val="uk-UA"/>
              </w:rPr>
              <w:t xml:space="preserve"> лікарі всіх спеціальностей</w:t>
            </w:r>
            <w:r w:rsidR="00C03477" w:rsidRPr="006C548F">
              <w:rPr>
                <w:lang w:val="uk-UA"/>
              </w:rPr>
              <w:t xml:space="preserve"> відповідно до номенклатури лікарських </w:t>
            </w:r>
            <w:proofErr w:type="spellStart"/>
            <w:r w:rsidR="00C03477" w:rsidRPr="006C548F">
              <w:rPr>
                <w:lang w:val="uk-UA"/>
              </w:rPr>
              <w:t>спеціальностеи</w:t>
            </w:r>
            <w:proofErr w:type="spellEnd"/>
            <w:r w:rsidR="00C03477" w:rsidRPr="006C548F">
              <w:rPr>
                <w:lang w:val="uk-UA"/>
              </w:rPr>
              <w:t xml:space="preserve">̆, </w:t>
            </w:r>
            <w:proofErr w:type="spellStart"/>
            <w:r w:rsidR="00C03477" w:rsidRPr="006C548F">
              <w:rPr>
                <w:lang w:val="uk-UA"/>
              </w:rPr>
              <w:t>затвердженоі</w:t>
            </w:r>
            <w:proofErr w:type="spellEnd"/>
            <w:r w:rsidR="00C03477" w:rsidRPr="006C548F">
              <w:rPr>
                <w:lang w:val="uk-UA"/>
              </w:rPr>
              <w:t xml:space="preserve">̈ </w:t>
            </w:r>
            <w:r w:rsidR="00DB5700" w:rsidRPr="00DB5700">
              <w:rPr>
                <w:lang w:val="uk-UA"/>
              </w:rPr>
              <w:t xml:space="preserve">наказом МОЗ </w:t>
            </w:r>
            <w:r w:rsidR="00DB5700">
              <w:rPr>
                <w:lang w:val="uk-UA"/>
              </w:rPr>
              <w:t xml:space="preserve"> </w:t>
            </w:r>
            <w:r w:rsidR="00DB5700" w:rsidRPr="00DB5700">
              <w:rPr>
                <w:lang w:val="uk-UA"/>
              </w:rPr>
              <w:t xml:space="preserve">України від 22 лютого 2019 року </w:t>
            </w:r>
          </w:p>
          <w:p w14:paraId="2F01C860" w14:textId="1982CF35" w:rsidR="00DB5700" w:rsidRPr="00DB5700" w:rsidRDefault="00DB5700" w:rsidP="00DB5700">
            <w:pPr>
              <w:rPr>
                <w:lang w:val="uk-UA"/>
              </w:rPr>
            </w:pPr>
            <w:r w:rsidRPr="00DB5700">
              <w:rPr>
                <w:lang w:val="uk-UA"/>
              </w:rPr>
              <w:t>№ 446</w:t>
            </w:r>
            <w:r>
              <w:rPr>
                <w:lang w:val="uk-UA"/>
              </w:rPr>
              <w:t xml:space="preserve"> </w:t>
            </w:r>
            <w:r w:rsidRPr="00DB5700">
              <w:rPr>
                <w:lang w:val="uk-UA"/>
              </w:rPr>
              <w:t>(у редакції наказу Міністерства</w:t>
            </w:r>
          </w:p>
          <w:p w14:paraId="7270DA12" w14:textId="77777777" w:rsidR="00DB5700" w:rsidRPr="00DB5700" w:rsidRDefault="00DB5700" w:rsidP="00DB5700">
            <w:pPr>
              <w:rPr>
                <w:lang w:val="uk-UA"/>
              </w:rPr>
            </w:pPr>
            <w:r w:rsidRPr="00DB5700">
              <w:rPr>
                <w:lang w:val="uk-UA"/>
              </w:rPr>
              <w:t>охорони здоров’я України</w:t>
            </w:r>
          </w:p>
          <w:p w14:paraId="64F48F26" w14:textId="39F98440" w:rsidR="00CE1075" w:rsidRPr="006E7D95" w:rsidRDefault="00DB5700" w:rsidP="00EF5AE1">
            <w:pPr>
              <w:rPr>
                <w:bCs/>
                <w:lang w:val="uk-UA"/>
              </w:rPr>
            </w:pPr>
            <w:r w:rsidRPr="00DB5700">
              <w:rPr>
                <w:lang w:val="uk-UA"/>
              </w:rPr>
              <w:t>від 18 серпня 2021 року № 1753)</w:t>
            </w:r>
          </w:p>
        </w:tc>
      </w:tr>
      <w:tr w:rsidR="00CE1075" w:rsidRPr="006E7D95" w14:paraId="45FE68CE" w14:textId="77777777" w:rsidTr="004B1191">
        <w:tc>
          <w:tcPr>
            <w:tcW w:w="3964" w:type="dxa"/>
          </w:tcPr>
          <w:p w14:paraId="04B476DE" w14:textId="2CB7AE6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47E0A1C9" w:rsidR="00CE1075" w:rsidRPr="006E7D95" w:rsidRDefault="006E7D95" w:rsidP="00AF09AC">
            <w:pPr>
              <w:rPr>
                <w:bCs/>
                <w:lang w:val="uk-UA"/>
              </w:rPr>
            </w:pPr>
            <w:r w:rsidRPr="006E7D95">
              <w:rPr>
                <w:bCs/>
                <w:lang w:val="uk-UA"/>
              </w:rPr>
              <w:t>Ні</w:t>
            </w:r>
          </w:p>
        </w:tc>
      </w:tr>
      <w:tr w:rsidR="00CE1075" w:rsidRPr="006C548F" w14:paraId="42949AA7" w14:textId="77777777" w:rsidTr="004B1191">
        <w:tc>
          <w:tcPr>
            <w:tcW w:w="3964" w:type="dxa"/>
          </w:tcPr>
          <w:p w14:paraId="30050366" w14:textId="76F7D775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2A710DA0" w:rsidR="00AF09AC" w:rsidRPr="00AF09AC" w:rsidRDefault="00AF09AC" w:rsidP="00C03477">
            <w:pPr>
              <w:rPr>
                <w:bCs/>
                <w:lang w:val="uk-UA"/>
              </w:rPr>
            </w:pPr>
            <w:r w:rsidRPr="00AF09AC">
              <w:rPr>
                <w:bCs/>
                <w:lang w:val="uk-UA"/>
              </w:rPr>
              <w:t>Тест</w:t>
            </w:r>
            <w:r w:rsidR="00C03477">
              <w:rPr>
                <w:bCs/>
                <w:lang w:val="uk-UA"/>
              </w:rPr>
              <w:t>ування</w:t>
            </w:r>
          </w:p>
        </w:tc>
      </w:tr>
      <w:tr w:rsidR="004B1191" w:rsidRPr="006C548F" w14:paraId="1E5F6364" w14:textId="77777777" w:rsidTr="004B1191">
        <w:tc>
          <w:tcPr>
            <w:tcW w:w="3964" w:type="dxa"/>
          </w:tcPr>
          <w:p w14:paraId="486698A8" w14:textId="0A12889E" w:rsidR="004B1191" w:rsidRPr="00CE1075" w:rsidRDefault="004B1191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t>Код заходу БПР</w:t>
            </w:r>
            <w:r>
              <w:rPr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4B1191" w:rsidRPr="00CE1075" w:rsidRDefault="004B1191" w:rsidP="00CE107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3304F287" w14:textId="797A9568" w:rsidR="00EB66CA" w:rsidRPr="003F4C1A" w:rsidRDefault="00EB66CA" w:rsidP="00EB66CA">
      <w:pPr>
        <w:pStyle w:val="a3"/>
        <w:ind w:left="4820"/>
        <w:rPr>
          <w:lang w:val="uk-UA"/>
        </w:rPr>
      </w:pPr>
    </w:p>
    <w:sectPr w:rsidR="00EB66CA" w:rsidRPr="003F4C1A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1D146" w14:textId="77777777" w:rsidR="001C72CF" w:rsidRDefault="001C72CF">
      <w:r>
        <w:separator/>
      </w:r>
    </w:p>
  </w:endnote>
  <w:endnote w:type="continuationSeparator" w:id="0">
    <w:p w14:paraId="1E039435" w14:textId="77777777" w:rsidR="001C72CF" w:rsidRDefault="001C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94D" w:rsidRPr="00A2494D">
          <w:rPr>
            <w:noProof/>
            <w:lang w:val="uk-UA"/>
          </w:rPr>
          <w:t>2</w:t>
        </w:r>
        <w:r>
          <w:fldChar w:fldCharType="end"/>
        </w:r>
      </w:p>
    </w:sdtContent>
  </w:sdt>
  <w:p w14:paraId="2781F9A6" w14:textId="77777777" w:rsidR="009C72FE" w:rsidRDefault="001C72CF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EA170" w14:textId="77777777" w:rsidR="001C72CF" w:rsidRDefault="001C72CF">
      <w:r>
        <w:separator/>
      </w:r>
    </w:p>
  </w:footnote>
  <w:footnote w:type="continuationSeparator" w:id="0">
    <w:p w14:paraId="33D07B48" w14:textId="77777777" w:rsidR="001C72CF" w:rsidRDefault="001C7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C8"/>
    <w:rsid w:val="000538CB"/>
    <w:rsid w:val="00082F88"/>
    <w:rsid w:val="000F3A55"/>
    <w:rsid w:val="0016105A"/>
    <w:rsid w:val="001866ED"/>
    <w:rsid w:val="00194641"/>
    <w:rsid w:val="001A337E"/>
    <w:rsid w:val="001C72CF"/>
    <w:rsid w:val="00200C8E"/>
    <w:rsid w:val="002169C8"/>
    <w:rsid w:val="00244E73"/>
    <w:rsid w:val="00397431"/>
    <w:rsid w:val="004B1191"/>
    <w:rsid w:val="00564D84"/>
    <w:rsid w:val="006C548F"/>
    <w:rsid w:val="006D6B46"/>
    <w:rsid w:val="006E7D95"/>
    <w:rsid w:val="0079789F"/>
    <w:rsid w:val="007B20C6"/>
    <w:rsid w:val="007C4FFA"/>
    <w:rsid w:val="008925FD"/>
    <w:rsid w:val="008F22A3"/>
    <w:rsid w:val="00A2494D"/>
    <w:rsid w:val="00A4355B"/>
    <w:rsid w:val="00AF09AC"/>
    <w:rsid w:val="00AF4B56"/>
    <w:rsid w:val="00C00CA9"/>
    <w:rsid w:val="00C03477"/>
    <w:rsid w:val="00C25150"/>
    <w:rsid w:val="00CE1075"/>
    <w:rsid w:val="00D43DDE"/>
    <w:rsid w:val="00D56112"/>
    <w:rsid w:val="00DB23D5"/>
    <w:rsid w:val="00DB5700"/>
    <w:rsid w:val="00E33C45"/>
    <w:rsid w:val="00EB66CA"/>
    <w:rsid w:val="00EF5AE1"/>
    <w:rsid w:val="00F43954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widowControl w:val="0"/>
      <w:autoSpaceDE w:val="0"/>
      <w:autoSpaceDN w:val="0"/>
      <w:ind w:left="161"/>
      <w:jc w:val="both"/>
    </w:pPr>
    <w:rPr>
      <w:rFonts w:eastAsia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widowControl w:val="0"/>
      <w:autoSpaceDE w:val="0"/>
      <w:autoSpaceDN w:val="0"/>
      <w:ind w:left="161" w:right="406" w:firstLine="708"/>
      <w:jc w:val="both"/>
    </w:pPr>
    <w:rPr>
      <w:rFonts w:eastAsia="Times New Roman"/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rsid w:val="00EB66CA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46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464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admin</cp:lastModifiedBy>
  <cp:revision>19</cp:revision>
  <cp:lastPrinted>2023-09-06T06:19:00Z</cp:lastPrinted>
  <dcterms:created xsi:type="dcterms:W3CDTF">2023-09-06T05:35:00Z</dcterms:created>
  <dcterms:modified xsi:type="dcterms:W3CDTF">2023-09-06T06:27:00Z</dcterms:modified>
</cp:coreProperties>
</file>