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16" w:rsidRDefault="003B15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>ADVERTISEMENT</w:t>
      </w:r>
    </w:p>
    <w:p w:rsidR="00686D16" w:rsidRDefault="003B15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on the extension of the</w:t>
      </w:r>
      <w:r>
        <w:rPr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competition for the selection of candidates</w:t>
      </w:r>
    </w:p>
    <w:p w:rsidR="00686D16" w:rsidRDefault="003B15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>for members of the Identification Committee on Science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The Ministry of Education and Science of Ukraine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announces </w:t>
      </w:r>
      <w:r>
        <w:rPr>
          <w:rFonts w:ascii="Times New Roman" w:hAnsi="Times New Roman"/>
          <w:sz w:val="28"/>
          <w:szCs w:val="28"/>
          <w:lang w:val="en-US"/>
        </w:rPr>
        <w:t xml:space="preserve">on </w:t>
      </w:r>
      <w:r>
        <w:rPr>
          <w:rFonts w:ascii="Times New Roman" w:hAnsi="Times New Roman"/>
          <w:b/>
          <w:sz w:val="28"/>
          <w:szCs w:val="28"/>
          <w:lang w:val="en-US"/>
        </w:rPr>
        <w:t>the extension of the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competition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for the selection of candidates for the Identification Committee on Science.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The Identification Committee</w:t>
      </w:r>
      <w: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>on Science is formed from domestic and foreign scientists who have significant scientific achievements, an impeccable scientific reputation and trust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in the scientific community.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Proposals for candidates for members of the Identification Committee on Science are submitted by Ukrainian and foreign scientific institutions, scientific organizations, public scientific organizations, scientific foundations,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as well as international and national science councils.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Self-nomination is not allowed.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Only persons who are doctors on science (doctors on philosophy for foreign scientists) and have experience in leading international projects in the field of science ar</w:t>
      </w:r>
      <w:r>
        <w:rPr>
          <w:rFonts w:ascii="Times New Roman" w:hAnsi="Times New Roman"/>
          <w:sz w:val="28"/>
          <w:szCs w:val="28"/>
          <w:lang w:val="en-US" w:eastAsia="uk-UA"/>
        </w:rPr>
        <w:t>e allowed to participate in the competition.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The proposal for a candidate for the member of the Identification Committee on Science must contain the following information: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Official letter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from the organization nominating the candidate.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Resume (CV),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w</w:t>
      </w:r>
      <w:r>
        <w:rPr>
          <w:rFonts w:ascii="Times New Roman" w:hAnsi="Times New Roman"/>
          <w:sz w:val="28"/>
          <w:szCs w:val="28"/>
          <w:lang w:val="en-US" w:eastAsia="uk-UA"/>
        </w:rPr>
        <w:t>hich should include the following information about the candidate: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- full name (in the spelling that corresponds to the identity document), year of birth;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- citizenship;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- information about places of work and positions for the last 5 years;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- information a</w:t>
      </w:r>
      <w:r>
        <w:rPr>
          <w:rFonts w:ascii="Times New Roman" w:hAnsi="Times New Roman"/>
          <w:sz w:val="28"/>
          <w:szCs w:val="28"/>
          <w:lang w:val="en-US" w:eastAsia="uk-UA"/>
        </w:rPr>
        <w:t>bout the academic degree obtained (for Ukrainian scientists – the degree of Doctor of Sciences, for foreign scientists – the degree of Doctor of Philosophy or equivalent), indicating the year of acquisition and the name of the organization that awarded the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degree;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- information about the experience of managing international projects, indicating the candidate's role (project manager, project co-manager, consortium team leader, etc.), the name of the project and the program under which it was financed, the ye</w:t>
      </w:r>
      <w:r>
        <w:rPr>
          <w:rFonts w:ascii="Times New Roman" w:hAnsi="Times New Roman"/>
          <w:sz w:val="28"/>
          <w:szCs w:val="28"/>
          <w:lang w:val="en-US" w:eastAsia="uk-UA"/>
        </w:rPr>
        <w:t>ars of project implementation;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- a list of the candidate's main (no more than 20) scientific publications, or a web link to the candidate's profile in one of the systems ORCID, Scopus, Web of Science, Google Scholar systems, which should contain informatio</w:t>
      </w:r>
      <w:r>
        <w:rPr>
          <w:rFonts w:ascii="Times New Roman" w:hAnsi="Times New Roman"/>
          <w:sz w:val="28"/>
          <w:szCs w:val="28"/>
          <w:lang w:val="en-US" w:eastAsia="uk-UA"/>
        </w:rPr>
        <w:t>n about his main scientific publications.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Written consent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of the nominated candidate to work in the Identification Committee on Science, subject to election to its membership.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Written consent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of the nominated candidate to the processing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 xml:space="preserve">of personal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data.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5. (for citizens of Ukraine) A copy of a document confirming the level of English language proficiency or information on the availability of at least 5 publications in English that are not translations from Ukrainian or Russian languages.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>At the cand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idate's request, the following documents can be additionally submitted</w:t>
      </w:r>
      <w:r>
        <w:rPr>
          <w:rFonts w:ascii="Times New Roman" w:hAnsi="Times New Roman"/>
          <w:sz w:val="28"/>
          <w:szCs w:val="28"/>
          <w:lang w:val="en-US" w:eastAsia="uk-UA"/>
        </w:rPr>
        <w:t>:</w:t>
      </w:r>
    </w:p>
    <w:p w:rsidR="00686D16" w:rsidRDefault="003B1546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copies of publications, patents, copyright certificates, etc.;</w:t>
      </w:r>
    </w:p>
    <w:p w:rsidR="00686D16" w:rsidRDefault="003B1546">
      <w:pPr>
        <w:pStyle w:val="ab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documents confirming membership in public scientific organizations, international and national scientific councils, </w:t>
      </w:r>
      <w:r>
        <w:rPr>
          <w:rFonts w:ascii="Times New Roman" w:hAnsi="Times New Roman"/>
          <w:sz w:val="28"/>
          <w:szCs w:val="28"/>
          <w:lang w:val="en-US" w:eastAsia="uk-UA"/>
        </w:rPr>
        <w:t>academies of sciences, etc.;</w:t>
      </w:r>
    </w:p>
    <w:p w:rsidR="00686D16" w:rsidRDefault="003B1546">
      <w:pPr>
        <w:pStyle w:val="ab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letters of recommendation, other documents confirming the professional level of the candidate and his scientific achievements.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In case of election, the winners of the competition must within 10 days from the date of announcemen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t, must submit </w:t>
      </w:r>
      <w:r>
        <w:rPr>
          <w:rFonts w:ascii="Times New Roman" w:hAnsi="Times New Roman"/>
          <w:sz w:val="28"/>
          <w:szCs w:val="28"/>
          <w:u w:val="single"/>
          <w:lang w:val="en-US" w:eastAsia="uk-UA"/>
        </w:rPr>
        <w:t>additionally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the following documents (in electronic form):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1. Copy of an identity document;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2. Copy of the document on obtaining a scientific degree.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The candidate and the subject of nomination are responsible for the authenticity of the doc</w:t>
      </w:r>
      <w:r>
        <w:rPr>
          <w:rFonts w:ascii="Times New Roman" w:hAnsi="Times New Roman"/>
          <w:sz w:val="28"/>
          <w:szCs w:val="28"/>
          <w:lang w:val="en-US" w:eastAsia="uk-UA"/>
        </w:rPr>
        <w:t>uments.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The deadline for submitting proposals is </w:t>
      </w:r>
      <w:r>
        <w:rPr>
          <w:rFonts w:ascii="Times New Roman" w:hAnsi="Times New Roman"/>
          <w:b/>
          <w:sz w:val="28"/>
          <w:szCs w:val="28"/>
          <w:lang w:val="en-US" w:eastAsia="uk-UA"/>
        </w:rPr>
        <w:t>August 20, 2023.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Proposals together with attachments are sent by the subjects of the submission in electronic form to the e-mail of the Ministry of Education and Science of Ukraine (E-mail: identcom@mon.gov.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ua,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no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later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than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24:00</w:t>
      </w:r>
      <w:bookmarkStart w:id="0" w:name="_GoBack"/>
      <w:bookmarkEnd w:id="0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the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last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day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of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submission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of</w:t>
      </w:r>
      <w:proofErr w:type="spellEnd"/>
      <w:r w:rsidRPr="003B15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1546">
        <w:rPr>
          <w:rFonts w:ascii="Times New Roman" w:hAnsi="Times New Roman"/>
          <w:sz w:val="28"/>
          <w:szCs w:val="28"/>
          <w:lang w:eastAsia="uk-UA"/>
        </w:rPr>
        <w:t>proposals</w:t>
      </w:r>
      <w:proofErr w:type="spellEnd"/>
      <w:r>
        <w:rPr>
          <w:rFonts w:ascii="Times New Roman" w:hAnsi="Times New Roman"/>
          <w:sz w:val="28"/>
          <w:szCs w:val="28"/>
          <w:lang w:val="en-US" w:eastAsia="uk-UA"/>
        </w:rPr>
        <w:t xml:space="preserve">) and in paper form to the address: Ministry of Education and Science of Ukraine, 10 </w:t>
      </w:r>
      <w:proofErr w:type="spellStart"/>
      <w:r>
        <w:rPr>
          <w:rFonts w:ascii="Times New Roman" w:hAnsi="Times New Roman"/>
          <w:sz w:val="28"/>
          <w:szCs w:val="28"/>
          <w:lang w:val="en-US" w:eastAsia="uk-UA" w:bidi="en-US"/>
        </w:rPr>
        <w:t>Beresteiskyi</w:t>
      </w:r>
      <w:proofErr w:type="spellEnd"/>
      <w:r>
        <w:rPr>
          <w:rFonts w:ascii="Times New Roman" w:hAnsi="Times New Roman"/>
          <w:sz w:val="28"/>
          <w:szCs w:val="28"/>
          <w:lang w:val="en-US" w:eastAsia="uk-UA" w:bidi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>Avenue, Kyiv, 011</w:t>
      </w:r>
      <w:r>
        <w:rPr>
          <w:rFonts w:ascii="Times New Roman" w:hAnsi="Times New Roman"/>
          <w:sz w:val="28"/>
          <w:szCs w:val="28"/>
          <w:lang w:val="en-US" w:eastAsia="uk-UA"/>
        </w:rPr>
        <w:t>35.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According to the Law of Ukraine "On Scientific and Scientific-Technical Activity", a person who: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1) recognized as incompetent or whose legal capacity is limited by a court decision;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2) has a criminal record for committing a criminal offense, if such a </w:t>
      </w:r>
      <w:r>
        <w:rPr>
          <w:rFonts w:ascii="Times New Roman" w:hAnsi="Times New Roman"/>
          <w:sz w:val="28"/>
          <w:szCs w:val="28"/>
          <w:lang w:val="en-US" w:eastAsia="uk-UA"/>
        </w:rPr>
        <w:t>criminal record has not been expunged or removed in accordance with the procedure established by law;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3) deprived of the right to hold relevant positions by a court verdict;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4) found guilty of committing a corruption offense by a court decision - within a </w:t>
      </w:r>
      <w:r>
        <w:rPr>
          <w:rFonts w:ascii="Times New Roman" w:hAnsi="Times New Roman"/>
          <w:sz w:val="28"/>
          <w:szCs w:val="28"/>
          <w:lang w:val="en-US" w:eastAsia="uk-UA"/>
        </w:rPr>
        <w:t>year from the date of entry into force of the relevant court decision;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5) was subject to administrative penalty for an offense related to corruption - within a year from the date of entry into force of the relevant court decision;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6) falls under the effect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of the third and fourth parts of Article 1 of the Law of Ukraine "On Purification of Power";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lastRenderedPageBreak/>
        <w:t>7) information about which is entered in the Unified State Register of Persons to whom the provisions of the Law of Ukraine "On Purification of Power" are applied</w:t>
      </w:r>
      <w:r>
        <w:rPr>
          <w:rFonts w:ascii="Times New Roman" w:hAnsi="Times New Roman"/>
          <w:sz w:val="28"/>
          <w:szCs w:val="28"/>
          <w:lang w:val="en-US" w:eastAsia="uk-UA"/>
        </w:rPr>
        <w:t>.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8) is the head of a Ukrainian scientific organization, scientific institution, institution of higher education;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9) has a potential or actual conflict of interest with other members of the Identification Committee</w:t>
      </w:r>
      <w: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>on Science;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10) works in the same scienti</w:t>
      </w:r>
      <w:r>
        <w:rPr>
          <w:rFonts w:ascii="Times New Roman" w:hAnsi="Times New Roman"/>
          <w:sz w:val="28"/>
          <w:szCs w:val="28"/>
          <w:lang w:val="en-US" w:eastAsia="uk-UA"/>
        </w:rPr>
        <w:t>fic institution, association of scientific institutions, subdivision of a higher education institution with other members of the Identification Committee on Science;</w:t>
      </w:r>
    </w:p>
    <w:p w:rsidR="00686D16" w:rsidRDefault="003B15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11) is a close person with other members of the Identification Committee</w:t>
      </w:r>
      <w: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>on Science in acc</w:t>
      </w:r>
      <w:r>
        <w:rPr>
          <w:rFonts w:ascii="Times New Roman" w:hAnsi="Times New Roman"/>
          <w:sz w:val="28"/>
          <w:szCs w:val="28"/>
          <w:lang w:val="en-US" w:eastAsia="uk-UA"/>
        </w:rPr>
        <w:t>ordance with the Law of Ukraine "On Prevention of Corruption".</w:t>
      </w:r>
    </w:p>
    <w:sectPr w:rsidR="00686D16">
      <w:headerReference w:type="default" r:id="rId7"/>
      <w:pgSz w:w="11906" w:h="16838"/>
      <w:pgMar w:top="850" w:right="850" w:bottom="850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16" w:rsidRDefault="00686D16">
      <w:pPr>
        <w:spacing w:after="0" w:line="240" w:lineRule="auto"/>
      </w:pPr>
    </w:p>
  </w:endnote>
  <w:endnote w:type="continuationSeparator" w:id="0">
    <w:p w:rsidR="00686D16" w:rsidRDefault="00686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16" w:rsidRDefault="00686D16">
      <w:pPr>
        <w:spacing w:after="0" w:line="240" w:lineRule="auto"/>
      </w:pPr>
    </w:p>
  </w:footnote>
  <w:footnote w:type="continuationSeparator" w:id="0">
    <w:p w:rsidR="00686D16" w:rsidRDefault="00686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16" w:rsidRDefault="003B15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B1546">
      <w:rPr>
        <w:noProof/>
        <w:lang w:val="ru-RU"/>
      </w:rPr>
      <w:t>3</w:t>
    </w:r>
    <w:r>
      <w:fldChar w:fldCharType="end"/>
    </w:r>
  </w:p>
  <w:p w:rsidR="00686D16" w:rsidRDefault="00686D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14D0"/>
    <w:multiLevelType w:val="hybridMultilevel"/>
    <w:tmpl w:val="BDCE3EC8"/>
    <w:lvl w:ilvl="0" w:tplc="F034899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16"/>
    <w:rsid w:val="003B1546"/>
    <w:rsid w:val="006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BCC64-10CA-4D8A-A077-FE186F3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44"/>
        <w:tab w:val="right" w:pos="9689"/>
      </w:tabs>
      <w:spacing w:after="0" w:line="240" w:lineRule="auto"/>
    </w:pPr>
  </w:style>
  <w:style w:type="paragraph" w:styleId="a7">
    <w:name w:val="footnote text"/>
    <w:link w:val="a8"/>
    <w:semiHidden/>
    <w:pPr>
      <w:spacing w:after="0" w:line="240" w:lineRule="auto"/>
    </w:pPr>
    <w:rPr>
      <w:sz w:val="20"/>
      <w:szCs w:val="20"/>
    </w:rPr>
  </w:style>
  <w:style w:type="paragraph" w:styleId="a9">
    <w:name w:val="end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e">
    <w:name w:val="footnote reference"/>
    <w:semiHidden/>
    <w:rPr>
      <w:vertAlign w:val="superscript"/>
    </w:rPr>
  </w:style>
  <w:style w:type="character" w:customStyle="1" w:styleId="a8">
    <w:name w:val="Текст сноски Знак"/>
    <w:link w:val="a7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a">
    <w:name w:val="Текст концевой сноски Знак"/>
    <w:link w:val="a9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4784</Characters>
  <Application>Microsoft Office Word</Application>
  <DocSecurity>0</DocSecurity>
  <Lines>86</Lines>
  <Paragraphs>32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volkedition88 volkedition88</dc:creator>
  <cp:lastModifiedBy>User</cp:lastModifiedBy>
  <cp:revision>7</cp:revision>
  <dcterms:created xsi:type="dcterms:W3CDTF">2023-06-07T14:40:00Z</dcterms:created>
  <dcterms:modified xsi:type="dcterms:W3CDTF">2023-06-14T19:34:00Z</dcterms:modified>
</cp:coreProperties>
</file>